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ROSAC0176ZPB</w:t>
      </w:r>
    </w:p>
    <w:p w:rsidR="00000000" w:rsidDel="00000000" w:rsidP="00000000" w:rsidRDefault="00000000" w:rsidRPr="00000000" w14:paraId="00000006">
      <w:pPr>
        <w:rPr>
          <w:i w:val="1"/>
          <w:iCs w:val="1"/>
          <w:color w:val="808080"/>
        </w:rPr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Pădurea Tătăruși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sdt>
        <w:sdtPr>
          <w:id w:val="159324181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 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sdt>
        <w:sdtPr>
          <w:id w:val="1718500501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sdt>
        <w:sdtPr>
          <w:id w:val="-1158269699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52,94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99,60%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Iași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 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1978997938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852316387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sdt>
              <w:sdtPr>
                <w:id w:val="-899069382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sdt>
              <w:sdtPr>
                <w:id w:val="1076810285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1304098324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688634266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52,94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privind aprobarea Planului de amenajare a teritoriului național – Secțiunea a III-a – zone protejate, cu modificările și completările ulterioare - Se suprapune cu rezervația naturală RONPA0563 Pădurea Tătăruși.                                                               - Ordonanța de urgență a Guvernului nr. 57/2007 privind regimul ariilor naturale protejate, conservarea habitatelor naturale, a florei şi faunei sălbatice, aprobată cu modificări și completări prin Legea nr. 49/2011, cu modificarile si completarile ulterioare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1017/2016 privind aprobarea Planului de management al sitului ROSCI0176 Pădurea Tătăruși și al rezervației naturale Pădurea Tătăruși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6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4.0" w:type="dxa"/>
        <w:jc w:val="left"/>
        <w:tblInd w:w="10.0" w:type="dxa"/>
        <w:tblLayout w:type="fixed"/>
        <w:tblLook w:val="0000"/>
      </w:tblPr>
      <w:tblGrid>
        <w:gridCol w:w="2817"/>
        <w:gridCol w:w="6147"/>
        <w:tblGridChange w:id="0">
          <w:tblGrid>
            <w:gridCol w:w="2817"/>
            <w:gridCol w:w="614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0" w:lineRule="auto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9130 Păduri de fag Asperulo-Fagetum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Nevertebrate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4050 Isophya stysi 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Plante:</w:t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1902 Cypripedium calceolus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78">
            <w:pPr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1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2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3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4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7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9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8A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Chirita C., Vlad I., Paunescu C., Patrascoiu  N., Rosu  C., Iancu I. 1977  “Statiuni forestiere”, Vol. II, , Ed. Academiei R.S.R., Bucuresti,                                                                                           - Doniţă, N., Ceianu, I., Purcelean, Ş., &amp; Beldie, A. (1977). Ecologie forestieră:(cu elemente de ecologie generală). Ceres.                                                                                                                   - N. Donita, A. Popescu, Pauca- Comanescu M., Mihailescu S., 2005 - Habitatele din Romania” – Biris I., Editura Tehnica Silvica, Bucuresti,                                                                                          - Gafta D. &amp; Mountford J.O. 2008- “Manual de interpretare a habitatelor Natura 2000 din Romania”, Ed. RISOPRINT, editor M.M.D.D.                                                                               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bookmarkStart w:colFirst="0" w:colLast="0" w:name="_heading=h.gtbdmi44975o" w:id="0"/>
      <w:bookmarkEnd w:id="0"/>
      <w:r w:rsidDel="00000000" w:rsidR="00000000" w:rsidRPr="00000000">
        <w:rPr>
          <w:sz w:val="22"/>
          <w:szCs w:val="22"/>
          <w:rtl w:val="0"/>
        </w:rPr>
        <w:t xml:space="preserve">Consultările publice au fost realizate la: 24 martie 2025 – Iași.</w:t>
      </w:r>
    </w:p>
    <w:p w:rsidR="00000000" w:rsidDel="00000000" w:rsidP="00000000" w:rsidRDefault="00000000" w:rsidRPr="00000000" w14:paraId="0000009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Ulterior, în cadrul procesului de consultare extins la nivel național, au avut loc consultări suplimentară online în data de 17 decembrie 2025 cu participarea factorilor interesați relevanți din județul Iași.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25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rFonts w:ascii="Aptos" w:cs="Aptos" w:eastAsia="Aptos" w:hAnsi="Aptos"/>
            <w:color w:val="467886"/>
            <w:sz w:val="24"/>
            <w:szCs w:val="24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Apto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i w:val="1"/>
      <w:iCs w:val="1"/>
      <w:color w:val="2f549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color w:val="2f549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595959"/>
      <w:sz w:val="22"/>
      <w:szCs w:val="22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9NxCiQjYUIBHDnNTVHyVPDSCn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3RiZG1pNDQ5NzVvOAByITF2RlhYelJtWnl0QV9HblJqbGZHNGVZLTJ0T1FGYUVB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